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90" w:rsidRPr="001039D4" w:rsidRDefault="00EE5E86" w:rsidP="00E005BD">
      <w:pPr>
        <w:tabs>
          <w:tab w:val="center" w:pos="4153"/>
          <w:tab w:val="right" w:pos="8306"/>
        </w:tabs>
        <w:rPr>
          <w:b/>
          <w:u w:val="single"/>
        </w:rPr>
      </w:pPr>
      <w:r w:rsidRPr="001039D4">
        <w:rPr>
          <w:b/>
        </w:rPr>
        <w:tab/>
      </w:r>
      <w:r w:rsidR="000F7E5E" w:rsidRPr="001039D4">
        <w:rPr>
          <w:b/>
          <w:noProof/>
          <w:color w:val="FF0000"/>
          <w:lang w:eastAsia="el-GR"/>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158115</wp:posOffset>
                </wp:positionV>
                <wp:extent cx="5457825" cy="323850"/>
                <wp:effectExtent l="0" t="0" r="28575" b="19050"/>
                <wp:wrapNone/>
                <wp:docPr id="3" name="Ορθογώνιο 3"/>
                <wp:cNvGraphicFramePr/>
                <a:graphic xmlns:a="http://schemas.openxmlformats.org/drawingml/2006/main">
                  <a:graphicData uri="http://schemas.microsoft.com/office/word/2010/wordprocessingShape">
                    <wps:wsp>
                      <wps:cNvSpPr/>
                      <wps:spPr>
                        <a:xfrm>
                          <a:off x="0" y="0"/>
                          <a:ext cx="5457825" cy="3238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AEB5A" id="Ορθογώνιο 3" o:spid="_x0000_s1026" style="position:absolute;margin-left:0;margin-top:12.45pt;width:429.7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" fillcolor="#9cc2e5 [1940]" strokecolor="#1f4d78 [1604]" strokeweight="1pt"/>
            </w:pict>
          </mc:Fallback>
        </mc:AlternateContent>
      </w:r>
    </w:p>
    <w:p w:rsidR="007A4119" w:rsidRPr="001039D4" w:rsidRDefault="007A4119" w:rsidP="00EE5E86">
      <w:pPr>
        <w:spacing w:after="150" w:line="240" w:lineRule="auto"/>
        <w:jc w:val="center"/>
        <w:rPr>
          <w:rFonts w:eastAsia="Times New Roman" w:cs="Arial"/>
          <w:lang w:eastAsia="el-GR"/>
        </w:rPr>
      </w:pPr>
      <w:bookmarkStart w:id="0" w:name="_GoBack"/>
      <w:bookmarkEnd w:id="0"/>
      <w:r w:rsidRPr="001039D4">
        <w:rPr>
          <w:rFonts w:eastAsia="Times New Roman" w:cs="Arial"/>
          <w:b/>
          <w:bCs/>
          <w:u w:val="single"/>
          <w:lang w:eastAsia="el-GR"/>
        </w:rPr>
        <w:t>ΠΟΛΙΤΙΚΗ ΑΝΑΓΝΩΡΙΣΗΣ ΠΙΣΤΩΤΙΚΩΝ ΜΟΝΑΔΩΝ (ECTS)</w:t>
      </w:r>
      <w:r w:rsidRPr="001039D4">
        <w:rPr>
          <w:rFonts w:eastAsia="Times New Roman" w:cs="Arial"/>
          <w:lang w:eastAsia="el-GR"/>
        </w:rPr>
        <w:br/>
      </w:r>
    </w:p>
    <w:p w:rsidR="007A4119" w:rsidRPr="001039D4" w:rsidRDefault="007A4119" w:rsidP="00DF05FE">
      <w:pPr>
        <w:spacing w:after="150" w:line="240" w:lineRule="auto"/>
        <w:jc w:val="center"/>
        <w:rPr>
          <w:rFonts w:eastAsia="Times New Roman" w:cs="Arial"/>
          <w:b/>
          <w:lang w:eastAsia="el-GR"/>
        </w:rPr>
      </w:pPr>
      <w:r w:rsidRPr="001039D4">
        <w:rPr>
          <w:rFonts w:eastAsia="Times New Roman" w:cs="Arial"/>
          <w:b/>
          <w:i/>
          <w:lang w:eastAsia="el-GR"/>
        </w:rPr>
        <w:t>Διαθέσιμη στο</w:t>
      </w:r>
      <w:r w:rsidRPr="001039D4">
        <w:rPr>
          <w:rFonts w:eastAsia="Times New Roman" w:cs="Arial"/>
          <w:b/>
          <w:lang w:eastAsia="el-GR"/>
        </w:rPr>
        <w:t xml:space="preserve"> </w:t>
      </w:r>
      <w:hyperlink r:id="rId8" w:history="1">
        <w:r w:rsidRPr="001039D4">
          <w:rPr>
            <w:rStyle w:val="-"/>
            <w:rFonts w:eastAsia="Times New Roman" w:cs="Arial"/>
            <w:b/>
            <w:color w:val="0070C0"/>
            <w:lang w:val="en-US" w:eastAsia="el-GR"/>
          </w:rPr>
          <w:t>http</w:t>
        </w:r>
        <w:r w:rsidRPr="001039D4">
          <w:rPr>
            <w:rStyle w:val="-"/>
            <w:rFonts w:eastAsia="Times New Roman" w:cs="Arial"/>
            <w:b/>
            <w:color w:val="0070C0"/>
            <w:lang w:eastAsia="el-GR"/>
          </w:rPr>
          <w:t>://</w:t>
        </w:r>
        <w:r w:rsidRPr="001039D4">
          <w:rPr>
            <w:rStyle w:val="-"/>
            <w:rFonts w:eastAsia="Times New Roman" w:cs="Arial"/>
            <w:b/>
            <w:color w:val="0070C0"/>
            <w:lang w:val="en-US" w:eastAsia="el-GR"/>
          </w:rPr>
          <w:t>erasmus</w:t>
        </w:r>
        <w:r w:rsidRPr="001039D4">
          <w:rPr>
            <w:rStyle w:val="-"/>
            <w:rFonts w:eastAsia="Times New Roman" w:cs="Arial"/>
            <w:b/>
            <w:color w:val="0070C0"/>
            <w:lang w:eastAsia="el-GR"/>
          </w:rPr>
          <w:t>.</w:t>
        </w:r>
        <w:r w:rsidRPr="001039D4">
          <w:rPr>
            <w:rStyle w:val="-"/>
            <w:rFonts w:eastAsia="Times New Roman" w:cs="Arial"/>
            <w:b/>
            <w:color w:val="0070C0"/>
            <w:lang w:val="en-US" w:eastAsia="el-GR"/>
          </w:rPr>
          <w:t>uop</w:t>
        </w:r>
        <w:r w:rsidRPr="001039D4">
          <w:rPr>
            <w:rStyle w:val="-"/>
            <w:rFonts w:eastAsia="Times New Roman" w:cs="Arial"/>
            <w:b/>
            <w:color w:val="0070C0"/>
            <w:lang w:eastAsia="el-GR"/>
          </w:rPr>
          <w:t>.</w:t>
        </w:r>
        <w:r w:rsidRPr="001039D4">
          <w:rPr>
            <w:rStyle w:val="-"/>
            <w:rFonts w:eastAsia="Times New Roman" w:cs="Arial"/>
            <w:b/>
            <w:color w:val="0070C0"/>
            <w:lang w:val="en-US" w:eastAsia="el-GR"/>
          </w:rPr>
          <w:t>gr</w:t>
        </w:r>
        <w:r w:rsidRPr="001039D4">
          <w:rPr>
            <w:rStyle w:val="-"/>
            <w:rFonts w:eastAsia="Times New Roman" w:cs="Arial"/>
            <w:b/>
            <w:color w:val="0070C0"/>
            <w:lang w:eastAsia="el-GR"/>
          </w:rPr>
          <w:t>/</w:t>
        </w:r>
        <w:r w:rsidRPr="001039D4">
          <w:rPr>
            <w:rStyle w:val="-"/>
            <w:rFonts w:eastAsia="Times New Roman" w:cs="Arial"/>
            <w:b/>
            <w:color w:val="0070C0"/>
            <w:lang w:val="en-US" w:eastAsia="el-GR"/>
          </w:rPr>
          <w:t>index</w:t>
        </w:r>
        <w:r w:rsidRPr="001039D4">
          <w:rPr>
            <w:rStyle w:val="-"/>
            <w:rFonts w:eastAsia="Times New Roman" w:cs="Arial"/>
            <w:b/>
            <w:color w:val="0070C0"/>
            <w:lang w:eastAsia="el-GR"/>
          </w:rPr>
          <w:t>.</w:t>
        </w:r>
        <w:r w:rsidRPr="001039D4">
          <w:rPr>
            <w:rStyle w:val="-"/>
            <w:rFonts w:eastAsia="Times New Roman" w:cs="Arial"/>
            <w:b/>
            <w:color w:val="0070C0"/>
            <w:lang w:val="en-US" w:eastAsia="el-GR"/>
          </w:rPr>
          <w:t>php</w:t>
        </w:r>
        <w:r w:rsidRPr="001039D4">
          <w:rPr>
            <w:rStyle w:val="-"/>
            <w:rFonts w:eastAsia="Times New Roman" w:cs="Arial"/>
            <w:b/>
            <w:color w:val="0070C0"/>
            <w:lang w:eastAsia="el-GR"/>
          </w:rPr>
          <w:t>/-----</w:t>
        </w:r>
        <w:r w:rsidRPr="001039D4">
          <w:rPr>
            <w:rStyle w:val="-"/>
            <w:rFonts w:eastAsia="Times New Roman" w:cs="Arial"/>
            <w:b/>
            <w:color w:val="0070C0"/>
            <w:lang w:val="en-US" w:eastAsia="el-GR"/>
          </w:rPr>
          <w:t>ects</w:t>
        </w:r>
      </w:hyperlink>
      <w:r w:rsidRPr="001039D4">
        <w:rPr>
          <w:rFonts w:eastAsia="Times New Roman" w:cs="Arial"/>
          <w:b/>
          <w:color w:val="0070C0"/>
          <w:lang w:eastAsia="el-GR"/>
        </w:rPr>
        <w:t xml:space="preserve"> </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val="en-US" w:eastAsia="el-GR"/>
        </w:rPr>
        <w:t> </w:t>
      </w:r>
      <w:r w:rsidRPr="001039D4">
        <w:rPr>
          <w:rFonts w:eastAsia="Times New Roman" w:cs="Arial"/>
          <w:lang w:eastAsia="el-GR"/>
        </w:rPr>
        <w:t>Σύμφωνα με τον Οδηγό για τους Χρήστες του ECTS:</w:t>
      </w:r>
    </w:p>
    <w:p w:rsidR="007A4119" w:rsidRPr="001039D4" w:rsidRDefault="007A4119" w:rsidP="00F33CFB">
      <w:pPr>
        <w:spacing w:after="150" w:line="240" w:lineRule="auto"/>
        <w:rPr>
          <w:rFonts w:eastAsia="Times New Roman" w:cs="Arial"/>
          <w:lang w:eastAsia="el-GR"/>
        </w:rPr>
      </w:pPr>
      <w:r w:rsidRPr="001039D4">
        <w:rPr>
          <w:rFonts w:eastAsia="Times New Roman" w:cs="Arial"/>
          <w:lang w:eastAsia="el-GR"/>
        </w:rPr>
        <w:t>• 60 ECTS κατανέμονται σε φόρτο εργασίας εν</w:t>
      </w:r>
      <w:r w:rsidR="00F33CFB" w:rsidRPr="001039D4">
        <w:rPr>
          <w:rFonts w:eastAsia="Times New Roman" w:cs="Arial"/>
          <w:lang w:eastAsia="el-GR"/>
        </w:rPr>
        <w:t>ός ακαδημαϊκού έτους φοίτησης</w:t>
      </w:r>
      <w:r w:rsidR="00F33CFB" w:rsidRPr="001039D4">
        <w:rPr>
          <w:rFonts w:eastAsia="Times New Roman" w:cs="Arial"/>
          <w:lang w:eastAsia="el-GR"/>
        </w:rPr>
        <w:br/>
        <w:t xml:space="preserve">• </w:t>
      </w:r>
      <w:r w:rsidRPr="001039D4">
        <w:rPr>
          <w:rFonts w:eastAsia="Times New Roman" w:cs="Arial"/>
          <w:lang w:eastAsia="el-GR"/>
        </w:rPr>
        <w:t>30 ΕCTS κατανέμονται σε ένα εξάμηνο</w:t>
      </w:r>
      <w:r w:rsidRPr="001039D4">
        <w:rPr>
          <w:rFonts w:eastAsia="Times New Roman" w:cs="Arial"/>
          <w:lang w:eastAsia="el-GR"/>
        </w:rPr>
        <w:br/>
        <w:t>• 20 ECTS σε ένα τρίμηνο</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Η αναγνώριση των πιστωτικών μονάδων είναι η διαδικασία μέσω της οποίας ένα Ίδρυμα πιστοποιεί ότι μερικά από τα μαθησιακά αποτελέσματα που έχουν επιτευχθεί και αξιολογηθεί σε κάποιο άλλο Ίδρυμα, πληρούν ορισμένες προϋποθέσεις ενός εκ των προσφερομένων προγραμμάτων.</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Αναγνώριση σημαίνει ότι ο αριθμός των πιστωτικών μονάδων που αποκτώνται με την επίτευξη των κατάλληλων μαθησιακών αποτελεσμάτων, στο κατάλληλο επίπεδο, σε κάποιο άλλο πλαίσιο σπουδών, θα αντικαταστήσει τον αριθμό των πιστωτικών μονάδων που απονέμονται για τα ίδια μαθησιακά αποτελέσματα στο Ίδρυμα που χορηγεί τον τίτλο.</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Με αυτή τη λογική, εφόσον στην Συμφωνία Μάθησης για 6 μήνες έχουν συμφωνηθεί τα 30 ECTS, αυτά θα πρέπει να αναγνωριστούν από το Ίδρυμα Προέλευσης, εφόσον ο φοιτητής ολοκλήρωσε επιτυχώς την περίοδο των σπουδών του στο Ίδρυμα Υποδοχής. Αντίστοιχες είναι οι απαιτήσεις για την χορήγηση 20 ECTS και 60 ECTS.</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Δεδομένης της ποικιλίας των προγραμμάτων και των Ιδρυμάτων Ανώτατης Εκπαίδευσης οι πιστωτικές μονάδες και τα μαθησιακά αποτελέσματα μιας εκπαιδευτικής ενότητας σε διαφορετικά προγράμματα, δεν είναι ταυτόσημα. Επομένως, καλό είναι να ακολουθείται μια ευέλικτη προσέγγιση για την αναγνώριση των πιστωτικών μονάδων που λαμβάνονται σε κάποιο άλλο πλαίσιο.</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Πρέπει να αναζητείται μια «δίκαιη αναγνώριση» αντί της τέλειας αντιστοιχίας. Αυτού του είδους η «δίκαιη αναγνώριση» θα πρέπει να βασίζεται στα μαθησιακά αποτελέσματα - δηλαδή, τι γνωρίζει και μπορεί να κάνει κάποια άτομο- και όχι στις τυπικές διαδικασίες που οδηγούν στην ολοκλήρωση ενός τίτλου σπουδών ή της εκπαιδευτικής ενότητας.</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Για παράδειγμα, στην πράξη, μια εκπαιδευτική ενότητα (π.χ. ένα μάθημα) 4 πιστωτικών μονάδων ECTS σε ένα άλλο Ίδρυμα, μπορεί να αντικαταστήσει μια συνιστώσα 5 πιστωτικών μονάδων ECTS σε ένα άλλο Ίδρυμα εάν τα μαθησιακά αποτελέσματα είναι ισοδύναμα. Στον φοιτητή θα απονεμηθούν τότε 5 πιστωτικές μονάδες ECTS.</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Eπίσης, ένα μάθημα του Ιδρύματός υποδοχής, δύναται να αντιστοιχηθεί με δύο μαθήματα στο Ίδρυμα προέλευσης από τη στιγμή που ο Ακαδημαϊκός Συντονιστής αξιολογήσει τα μαθησιακά αποτελέσματα.</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xml:space="preserve"> Ο φοιτητής ζητεί αλλά δεν διαπραγματεύεται την ακαδημαϊκή αναγνώριση από τον διδάσκοντα κάθε μαθήματος χωριστά. Η Συμφωνία Σπουδών μαζί με το Πιστοποιητικό </w:t>
      </w:r>
      <w:r w:rsidRPr="001039D4">
        <w:rPr>
          <w:rFonts w:eastAsia="Times New Roman" w:cs="Arial"/>
          <w:lang w:eastAsia="el-GR"/>
        </w:rPr>
        <w:lastRenderedPageBreak/>
        <w:t>Αναλυτικής Βαθμολογίας είναι σχεδιασμένα να διασφαλίζουν την πλήρη αναγνώριση του προγράμματος σπουδών που παρακολουθείται στο Ίδρυμα Υποδοχής.</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xml:space="preserve"> ΣΗΜΑΝΤΙΚΟ: η Συμφωνία Μάθησης υπογράφεται πριν την αναχώρηση του Φοιτητή και έτσι ο </w:t>
      </w:r>
      <w:r w:rsidR="00651B87" w:rsidRPr="001039D4">
        <w:rPr>
          <w:rFonts w:eastAsia="Times New Roman" w:cs="Arial"/>
          <w:lang w:eastAsia="el-GR"/>
        </w:rPr>
        <w:t>φ</w:t>
      </w:r>
      <w:r w:rsidRPr="001039D4">
        <w:rPr>
          <w:rFonts w:eastAsia="Times New Roman" w:cs="Arial"/>
          <w:lang w:eastAsia="el-GR"/>
        </w:rPr>
        <w:t>οιτητής γνωρίζει εκ των προτέρων ότι τα μαθήματα που θα πάρει στο εξωτερικό, θα αναγνωριστούν πλήρως, μετά από επιτυχή ολοκλήρωσή τους.</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xml:space="preserve"> Σε περίπτωση όπου ο </w:t>
      </w:r>
      <w:r w:rsidR="00651B87" w:rsidRPr="001039D4">
        <w:rPr>
          <w:rFonts w:eastAsia="Times New Roman" w:cs="Arial"/>
          <w:lang w:eastAsia="el-GR"/>
        </w:rPr>
        <w:t>φ</w:t>
      </w:r>
      <w:r w:rsidRPr="001039D4">
        <w:rPr>
          <w:rFonts w:eastAsia="Times New Roman" w:cs="Arial"/>
          <w:lang w:eastAsia="el-GR"/>
        </w:rPr>
        <w:t xml:space="preserve">οιτητής για συγκεκριμένους λόγους (όπως αναφέρονται στη Μαθησιακή Συμφωνία) αναγκαστεί να κάνει αλλαγές στο πρόγραμμα της Συμφωνίας Μάθησης, αυτές θα πρέπει να γίνουν το συντομότερο δυνατόν, σε διάστημα ενός μήνα από την έναρξη των σπουδών, και να εγκριθούν από το Ίδρυμα Προέλευσης ώστε να έχει ο </w:t>
      </w:r>
      <w:r w:rsidR="00651B87" w:rsidRPr="001039D4">
        <w:rPr>
          <w:rFonts w:eastAsia="Times New Roman" w:cs="Arial"/>
          <w:lang w:eastAsia="el-GR"/>
        </w:rPr>
        <w:t>φ</w:t>
      </w:r>
      <w:r w:rsidRPr="001039D4">
        <w:rPr>
          <w:rFonts w:eastAsia="Times New Roman" w:cs="Arial"/>
          <w:lang w:eastAsia="el-GR"/>
        </w:rPr>
        <w:t>οιτητής την εγγύηση ότι θα λάβει πλήρη αναγνώριση αυτών, μετά την επιτυχή ολοκλήρωσή τους.</w:t>
      </w:r>
    </w:p>
    <w:p w:rsidR="00C67EC5"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Εάν ο φοιτητής επιλέξει να παρακολουθήσει ένα μάθημα, το οποίο δεν εντάσσεται στο Πρόγραμμα Σπουδών του και δεν επιθυμεί να υπολογιστεί για την απόκτηση του τίτλου σπουδών του, αυτό θα αναγραφεί στο 6.1 του Παραρτήματος Διπλώματος. Βάσει του Οδηγού ΕCTS «Οι πιστωτικές μονάδες που απονέμονται στη συνεχή εκπαίδευση μπορούν ή όχι να αναγνωρίζονται και να συσσωρεύονται για την απόκτηση κάποιου τίτλου σπουδών/προσόντος, ανάλογα με την επιθυμία του εκπαιδευόμενου και /ή τις προϋποθέσεις για την απονομή κάποιου τίτλου σπουδών/προσόντος. Ορισμένοι εκπαιδευόμενοι μπορεί να ενδιαφέρονται μόνο για την παρακολούθηση κάποιας συγκεκριμένης εκπαιδευτικής συνιστώσας χωρίς να επιθυμούν να αποκτήσουν τον τίτλο σπουδών.»</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Οι Μαθησιακές Συμφωνίες προβλέπουν την παρακολούθηση ακαδημαϊκών ενοτήτων που αντιστοιχούν στο σύνολο των ECTS του εκάστοτε προγράμματος που επιλέγει ο φοιτητής (20, 30 ή 60 ECTS). Δεν γίνεται μετακίνηση για λιγότερα από τα προβλεπόμενα ECTS.</w:t>
      </w:r>
    </w:p>
    <w:p w:rsidR="007A4119" w:rsidRPr="001039D4" w:rsidRDefault="007A4119" w:rsidP="007A4119">
      <w:pPr>
        <w:spacing w:after="150" w:line="240" w:lineRule="auto"/>
        <w:jc w:val="both"/>
        <w:rPr>
          <w:rFonts w:eastAsia="Times New Roman" w:cs="Arial"/>
          <w:lang w:eastAsia="el-GR"/>
        </w:rPr>
      </w:pPr>
      <w:r w:rsidRPr="001039D4">
        <w:rPr>
          <w:rFonts w:eastAsia="Times New Roman" w:cs="Arial"/>
          <w:lang w:eastAsia="el-GR"/>
        </w:rPr>
        <w:t> Αποδεκτή θεωρείται η μετακίνηση όταν ο φοιτητής έχει εξεταστεί σε μαθήματα ισοδύναμα τουλάχιστον με το ήμισυ των ECTS (π.χ. 15 ECTS όταν προβλέπεται σύνολο 30 ECTS για εξάμηνη μετακίνηση) τα οποία δηλώνονται στη Συμφωνία Σπουδών. Σε διαφορετική περίπτωση, το Ίδρυμα διατηρεί το δικαίωμα να ζητήσει επιστροφή μέρους ή του συνόλου του ποσού της υποτροφίας. Η συμπλήρωση λιγότερων των προβλεπόμενων ECTS από τον μετακινηθέντα φοιτητή αξιολογούνται περαιτέρω από το Τμήμα προέλευσής του και το Ίδρυμα. </w:t>
      </w:r>
      <w:r w:rsidRPr="001039D4">
        <w:rPr>
          <w:rFonts w:eastAsia="Times New Roman" w:cs="Arial"/>
          <w:lang w:eastAsia="el-GR"/>
        </w:rPr>
        <w:br/>
      </w:r>
      <w:r w:rsidRPr="001039D4">
        <w:rPr>
          <w:rFonts w:eastAsia="Times New Roman" w:cs="Arial"/>
          <w:lang w:eastAsia="el-GR"/>
        </w:rPr>
        <w:br/>
        <w:t>Τα αποτελέσματα της ακαδημαϊκής επίδοσης των φοιτητών που μετακινούνται για σπουδές αξιολογούνται βάσει της αναλυτικής βαθμολογίας που θα προσκομίσουν μετά τη λήξη της μετακίνησής τους.</w:t>
      </w:r>
    </w:p>
    <w:p w:rsidR="006A06C0" w:rsidRDefault="007A4119" w:rsidP="006A06C0">
      <w:pPr>
        <w:spacing w:after="150" w:line="240" w:lineRule="auto"/>
        <w:jc w:val="both"/>
        <w:rPr>
          <w:rFonts w:eastAsia="Times New Roman" w:cs="Arial"/>
          <w:lang w:eastAsia="el-GR"/>
        </w:rPr>
      </w:pPr>
      <w:r w:rsidRPr="001039D4">
        <w:rPr>
          <w:rFonts w:eastAsia="Times New Roman" w:cs="Arial"/>
          <w:lang w:eastAsia="el-GR"/>
        </w:rPr>
        <w:t> </w:t>
      </w:r>
      <w:r w:rsidR="006A06C0" w:rsidRPr="001039D4">
        <w:rPr>
          <w:rFonts w:eastAsia="Times New Roman" w:cs="Arial"/>
          <w:lang w:eastAsia="el-GR"/>
        </w:rPr>
        <w:t>Τα αποτελέσματα της ακαδημαϊκής επίδοσης των φοιτητών που μετακινούνται για πρακτική άσκηση αξιολογούνται βάσει της βεβαίωσης ολοκλήρωσης του έργου στην οποία περιλαμβάνεται και η κλίμακα αξιολόγησης, ως εξής:</w:t>
      </w:r>
    </w:p>
    <w:p w:rsidR="006A06C0" w:rsidRDefault="006A06C0" w:rsidP="006A06C0">
      <w:pPr>
        <w:spacing w:after="150" w:line="240" w:lineRule="auto"/>
        <w:jc w:val="both"/>
        <w:rPr>
          <w:rFonts w:eastAsia="Times New Roman" w:cs="Arial"/>
          <w:lang w:eastAsia="el-GR"/>
        </w:rPr>
      </w:pPr>
    </w:p>
    <w:p w:rsidR="006A06C0" w:rsidRDefault="006A06C0" w:rsidP="006A06C0">
      <w:pPr>
        <w:spacing w:after="150" w:line="240" w:lineRule="auto"/>
        <w:jc w:val="both"/>
        <w:rPr>
          <w:rFonts w:eastAsia="Times New Roman" w:cs="Arial"/>
          <w:lang w:eastAsia="el-GR"/>
        </w:rPr>
      </w:pPr>
    </w:p>
    <w:p w:rsidR="006A06C0" w:rsidRDefault="006A06C0" w:rsidP="006A06C0">
      <w:pPr>
        <w:spacing w:after="150" w:line="240" w:lineRule="auto"/>
        <w:jc w:val="both"/>
        <w:rPr>
          <w:rFonts w:eastAsia="Times New Roman" w:cs="Arial"/>
          <w:lang w:eastAsia="el-GR"/>
        </w:rPr>
      </w:pPr>
    </w:p>
    <w:tbl>
      <w:tblPr>
        <w:tblStyle w:val="a8"/>
        <w:tblW w:w="0" w:type="auto"/>
        <w:tblLook w:val="04A0" w:firstRow="1" w:lastRow="0" w:firstColumn="1" w:lastColumn="0" w:noHBand="0" w:noVBand="1"/>
      </w:tblPr>
      <w:tblGrid>
        <w:gridCol w:w="2074"/>
        <w:gridCol w:w="2074"/>
        <w:gridCol w:w="2074"/>
        <w:gridCol w:w="2074"/>
      </w:tblGrid>
      <w:tr w:rsidR="006A06C0" w:rsidTr="008E2926">
        <w:trPr>
          <w:trHeight w:val="1304"/>
        </w:trPr>
        <w:tc>
          <w:tcPr>
            <w:tcW w:w="2074" w:type="dxa"/>
          </w:tcPr>
          <w:p w:rsidR="006A06C0" w:rsidRDefault="006A06C0" w:rsidP="008E2926">
            <w:pPr>
              <w:spacing w:after="150"/>
              <w:jc w:val="both"/>
              <w:rPr>
                <w:rFonts w:eastAsia="Times New Roman" w:cs="Arial"/>
                <w:lang w:eastAsia="el-GR"/>
              </w:rPr>
            </w:pPr>
          </w:p>
        </w:tc>
        <w:tc>
          <w:tcPr>
            <w:tcW w:w="2074" w:type="dxa"/>
          </w:tcPr>
          <w:p w:rsidR="006A06C0" w:rsidRDefault="006A06C0" w:rsidP="008E2926">
            <w:pPr>
              <w:spacing w:after="150"/>
              <w:jc w:val="center"/>
              <w:rPr>
                <w:rFonts w:eastAsia="Times New Roman" w:cs="Arial"/>
                <w:lang w:eastAsia="el-GR"/>
              </w:rPr>
            </w:pPr>
            <w:r>
              <w:rPr>
                <w:rFonts w:eastAsia="Times New Roman" w:cs="Arial"/>
                <w:lang w:eastAsia="el-GR"/>
              </w:rPr>
              <w:t>Ποσοστό φοιτητών που συνήθως αξιολογούνται με αυτό το βαθμό</w:t>
            </w:r>
          </w:p>
          <w:p w:rsidR="006A06C0" w:rsidRDefault="006A06C0" w:rsidP="008E2926">
            <w:pPr>
              <w:spacing w:after="150"/>
              <w:jc w:val="center"/>
              <w:rPr>
                <w:rFonts w:eastAsia="Times New Roman" w:cs="Arial"/>
                <w:lang w:eastAsia="el-GR"/>
              </w:rPr>
            </w:pPr>
            <w:r>
              <w:rPr>
                <w:rFonts w:eastAsia="Times New Roman" w:cs="Arial"/>
                <w:lang w:eastAsia="el-GR"/>
              </w:rPr>
              <w:t>%</w:t>
            </w:r>
          </w:p>
        </w:tc>
        <w:tc>
          <w:tcPr>
            <w:tcW w:w="2074" w:type="dxa"/>
          </w:tcPr>
          <w:p w:rsidR="006A06C0" w:rsidRDefault="006A06C0" w:rsidP="008E2926">
            <w:pPr>
              <w:spacing w:after="150"/>
              <w:jc w:val="center"/>
              <w:rPr>
                <w:rFonts w:eastAsia="Times New Roman" w:cs="Arial"/>
                <w:lang w:eastAsia="el-GR"/>
              </w:rPr>
            </w:pPr>
            <w:r>
              <w:rPr>
                <w:rFonts w:eastAsia="Times New Roman" w:cs="Arial"/>
                <w:lang w:eastAsia="el-GR"/>
              </w:rPr>
              <w:t>Ορισμός</w:t>
            </w:r>
          </w:p>
        </w:tc>
        <w:tc>
          <w:tcPr>
            <w:tcW w:w="2074" w:type="dxa"/>
          </w:tcPr>
          <w:p w:rsidR="006A06C0" w:rsidRDefault="006A06C0" w:rsidP="008E2926">
            <w:pPr>
              <w:spacing w:after="150"/>
              <w:jc w:val="center"/>
              <w:rPr>
                <w:rFonts w:eastAsia="Times New Roman" w:cs="Arial"/>
                <w:lang w:eastAsia="el-GR"/>
              </w:rPr>
            </w:pPr>
            <w:r>
              <w:rPr>
                <w:rFonts w:eastAsia="Times New Roman" w:cs="Arial"/>
                <w:lang w:eastAsia="el-GR"/>
              </w:rPr>
              <w:t>Περιοχή βαθμολογίας</w:t>
            </w:r>
          </w:p>
        </w:tc>
      </w:tr>
      <w:tr w:rsidR="006A06C0" w:rsidTr="008E2926">
        <w:trPr>
          <w:trHeight w:val="978"/>
        </w:trPr>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A</w:t>
            </w:r>
          </w:p>
        </w:tc>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10</w:t>
            </w:r>
          </w:p>
        </w:tc>
        <w:tc>
          <w:tcPr>
            <w:tcW w:w="2074" w:type="dxa"/>
          </w:tcPr>
          <w:p w:rsidR="006A06C0" w:rsidRPr="005F602E" w:rsidRDefault="006A06C0" w:rsidP="008E2926">
            <w:pPr>
              <w:spacing w:after="150"/>
              <w:rPr>
                <w:rFonts w:eastAsia="Times New Roman" w:cs="Arial"/>
                <w:lang w:eastAsia="el-GR"/>
              </w:rPr>
            </w:pPr>
            <w:r>
              <w:rPr>
                <w:rFonts w:eastAsia="Times New Roman" w:cs="Arial"/>
                <w:lang w:eastAsia="el-GR"/>
              </w:rPr>
              <w:t>Άριστα-άριστο αποτέλεσμα με επουσιώδεις ελλείψεις</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9-10</w:t>
            </w:r>
          </w:p>
        </w:tc>
      </w:tr>
      <w:tr w:rsidR="006A06C0" w:rsidTr="008E2926">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B</w:t>
            </w:r>
          </w:p>
        </w:tc>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25</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Πολύ καλά-άνω του μετρίου, με ορισμένες ελλείψεις</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8-8.99</w:t>
            </w:r>
          </w:p>
        </w:tc>
      </w:tr>
      <w:tr w:rsidR="006A06C0" w:rsidTr="008E2926">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C</w:t>
            </w:r>
          </w:p>
        </w:tc>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30</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Καλά-καλή εργασία με ορισμένες σημαντικές ελλείψεις</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7-7.99</w:t>
            </w:r>
          </w:p>
        </w:tc>
      </w:tr>
      <w:tr w:rsidR="006A06C0" w:rsidTr="008E2926">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D</w:t>
            </w:r>
          </w:p>
        </w:tc>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25</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Αρκετά καλά-αποδεκτό επίπεδο εργασίας, αλλά με σοβαρές ελλείψεις</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6-6.99</w:t>
            </w:r>
          </w:p>
        </w:tc>
      </w:tr>
      <w:tr w:rsidR="006A06C0" w:rsidTr="008E2926">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E</w:t>
            </w:r>
          </w:p>
        </w:tc>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10</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Ικανοποιητικά-η εργασία πληροί τα ελάχιστα κριτήρια</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5-5.99</w:t>
            </w:r>
          </w:p>
        </w:tc>
      </w:tr>
      <w:tr w:rsidR="006A06C0" w:rsidTr="008E2926">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FX</w:t>
            </w:r>
          </w:p>
        </w:tc>
        <w:tc>
          <w:tcPr>
            <w:tcW w:w="2074" w:type="dxa"/>
          </w:tcPr>
          <w:p w:rsidR="006A06C0" w:rsidRPr="005F602E" w:rsidRDefault="006A06C0" w:rsidP="008E2926">
            <w:pPr>
              <w:spacing w:after="150"/>
              <w:jc w:val="center"/>
              <w:rPr>
                <w:rFonts w:eastAsia="Times New Roman" w:cs="Arial"/>
                <w:lang w:val="en-US" w:eastAsia="el-GR"/>
              </w:rPr>
            </w:pPr>
            <w:r>
              <w:rPr>
                <w:rFonts w:eastAsia="Times New Roman" w:cs="Arial"/>
                <w:lang w:val="en-US" w:eastAsia="el-GR"/>
              </w:rPr>
              <w:t>-</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Αποτυχία-απαιτείται μεγαλύτερη προσπάθεια για την επιτυχή ολοκλήρωση και την απονομή πιστωτικών μονάδων</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3.5-4.99</w:t>
            </w:r>
          </w:p>
        </w:tc>
      </w:tr>
      <w:tr w:rsidR="006A06C0" w:rsidTr="008E2926">
        <w:tc>
          <w:tcPr>
            <w:tcW w:w="2074" w:type="dxa"/>
          </w:tcPr>
          <w:p w:rsidR="006A06C0" w:rsidRPr="005F602E" w:rsidRDefault="006A06C0" w:rsidP="008E2926">
            <w:pPr>
              <w:spacing w:after="150"/>
              <w:jc w:val="both"/>
              <w:rPr>
                <w:rFonts w:eastAsia="Times New Roman" w:cs="Arial"/>
                <w:lang w:val="en-US" w:eastAsia="el-GR"/>
              </w:rPr>
            </w:pPr>
            <w:r>
              <w:rPr>
                <w:rFonts w:eastAsia="Times New Roman" w:cs="Arial"/>
                <w:lang w:val="en-US" w:eastAsia="el-GR"/>
              </w:rPr>
              <w:t>F</w:t>
            </w:r>
          </w:p>
        </w:tc>
        <w:tc>
          <w:tcPr>
            <w:tcW w:w="2074" w:type="dxa"/>
          </w:tcPr>
          <w:p w:rsidR="006A06C0" w:rsidRPr="005F602E" w:rsidRDefault="006A06C0" w:rsidP="008E2926">
            <w:pPr>
              <w:spacing w:after="150"/>
              <w:jc w:val="both"/>
              <w:rPr>
                <w:rFonts w:eastAsia="Times New Roman" w:cs="Arial"/>
                <w:lang w:val="en-US" w:eastAsia="el-GR"/>
              </w:rPr>
            </w:pPr>
            <w:r>
              <w:rPr>
                <w:rFonts w:eastAsia="Times New Roman" w:cs="Arial"/>
                <w:lang w:val="en-US" w:eastAsia="el-GR"/>
              </w:rPr>
              <w:t>-</w:t>
            </w:r>
          </w:p>
        </w:tc>
        <w:tc>
          <w:tcPr>
            <w:tcW w:w="2074" w:type="dxa"/>
          </w:tcPr>
          <w:p w:rsidR="006A06C0" w:rsidRDefault="006A06C0" w:rsidP="008E2926">
            <w:pPr>
              <w:spacing w:after="150"/>
              <w:rPr>
                <w:rFonts w:eastAsia="Times New Roman" w:cs="Arial"/>
                <w:lang w:eastAsia="el-GR"/>
              </w:rPr>
            </w:pPr>
            <w:r>
              <w:rPr>
                <w:rFonts w:eastAsia="Times New Roman" w:cs="Arial"/>
                <w:lang w:eastAsia="el-GR"/>
              </w:rPr>
              <w:t>Αποτυχία-απαιτείται πολύ μεγαλύτερη προσπάθεια</w:t>
            </w:r>
          </w:p>
        </w:tc>
        <w:tc>
          <w:tcPr>
            <w:tcW w:w="2074" w:type="dxa"/>
          </w:tcPr>
          <w:p w:rsidR="006A06C0" w:rsidRDefault="006A06C0" w:rsidP="008E2926">
            <w:pPr>
              <w:spacing w:after="150"/>
              <w:jc w:val="both"/>
              <w:rPr>
                <w:rFonts w:eastAsia="Times New Roman" w:cs="Arial"/>
                <w:lang w:eastAsia="el-GR"/>
              </w:rPr>
            </w:pPr>
            <w:r>
              <w:rPr>
                <w:rFonts w:eastAsia="Times New Roman" w:cs="Arial"/>
                <w:lang w:eastAsia="el-GR"/>
              </w:rPr>
              <w:t>0-3.49</w:t>
            </w:r>
          </w:p>
        </w:tc>
      </w:tr>
    </w:tbl>
    <w:p w:rsidR="006A06C0" w:rsidRPr="001039D4" w:rsidRDefault="006A06C0" w:rsidP="006A06C0">
      <w:pPr>
        <w:pStyle w:val="Web"/>
        <w:rPr>
          <w:rFonts w:asciiTheme="minorHAnsi" w:hAnsiTheme="minorHAnsi"/>
          <w:sz w:val="22"/>
          <w:szCs w:val="22"/>
        </w:rPr>
      </w:pPr>
      <w:r w:rsidRPr="001039D4">
        <w:rPr>
          <w:rFonts w:asciiTheme="minorHAnsi" w:hAnsiTheme="minorHAnsi" w:cs="Arial"/>
          <w:sz w:val="22"/>
          <w:szCs w:val="22"/>
        </w:rPr>
        <w:lastRenderedPageBreak/>
        <w:t>Σε περίπτωση που ο φοιτητής δεν ολοκληρώσει επιτυχώς το έργο του, το Ίδρυμα διατηρεί το δικαίωμα να ζητήσει επιστροφή μέρους ή του συνόλου του ποσού της υποτροφίας</w:t>
      </w:r>
    </w:p>
    <w:p w:rsidR="00DF05FE" w:rsidRPr="001039D4" w:rsidRDefault="00DF05FE" w:rsidP="006A06C0">
      <w:pPr>
        <w:spacing w:after="150" w:line="240" w:lineRule="auto"/>
        <w:jc w:val="both"/>
        <w:rPr>
          <w:rFonts w:cs="ArialMT"/>
          <w:b/>
        </w:rPr>
      </w:pPr>
    </w:p>
    <w:p w:rsidR="00DF05FE" w:rsidRPr="001039D4" w:rsidRDefault="006A06C0" w:rsidP="00DF05FE">
      <w:pPr>
        <w:autoSpaceDE w:val="0"/>
        <w:autoSpaceDN w:val="0"/>
        <w:adjustRightInd w:val="0"/>
        <w:spacing w:after="0" w:line="240" w:lineRule="auto"/>
        <w:rPr>
          <w:rFonts w:cs="ArialMT"/>
          <w:b/>
        </w:rPr>
      </w:pPr>
      <w:r w:rsidRPr="001039D4">
        <w:rPr>
          <w:b/>
          <w:noProof/>
          <w:color w:val="FF0000"/>
          <w:lang w:eastAsia="el-GR"/>
        </w:rPr>
        <mc:AlternateContent>
          <mc:Choice Requires="wps">
            <w:drawing>
              <wp:anchor distT="0" distB="0" distL="114300" distR="114300" simplePos="0" relativeHeight="251669504" behindDoc="1" locked="0" layoutInCell="1" allowOverlap="1" wp14:anchorId="046A15BB" wp14:editId="74D05144">
                <wp:simplePos x="0" y="0"/>
                <wp:positionH relativeFrom="column">
                  <wp:posOffset>-123825</wp:posOffset>
                </wp:positionH>
                <wp:positionV relativeFrom="paragraph">
                  <wp:posOffset>65405</wp:posOffset>
                </wp:positionV>
                <wp:extent cx="5457825" cy="323850"/>
                <wp:effectExtent l="0" t="0" r="28575" b="19050"/>
                <wp:wrapNone/>
                <wp:docPr id="8" name="Ορθογώνιο 8"/>
                <wp:cNvGraphicFramePr/>
                <a:graphic xmlns:a="http://schemas.openxmlformats.org/drawingml/2006/main">
                  <a:graphicData uri="http://schemas.microsoft.com/office/word/2010/wordprocessingShape">
                    <wps:wsp>
                      <wps:cNvSpPr/>
                      <wps:spPr>
                        <a:xfrm>
                          <a:off x="0" y="0"/>
                          <a:ext cx="54578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CF31F" id="Ορθογώνιο 8" o:spid="_x0000_s1026" style="position:absolute;margin-left:-9.75pt;margin-top:5.15pt;width:429.75pt;height:25.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" fillcolor="#5b9bd5 [3204]" strokecolor="#1f4d78 [1604]" strokeweight="1pt"/>
            </w:pict>
          </mc:Fallback>
        </mc:AlternateContent>
      </w:r>
    </w:p>
    <w:p w:rsidR="00DF05FE" w:rsidRPr="001039D4" w:rsidRDefault="00DF05FE" w:rsidP="00DF05FE">
      <w:pPr>
        <w:autoSpaceDE w:val="0"/>
        <w:autoSpaceDN w:val="0"/>
        <w:adjustRightInd w:val="0"/>
        <w:spacing w:after="0" w:line="240" w:lineRule="auto"/>
        <w:rPr>
          <w:rFonts w:cs="ArialMT"/>
          <w:b/>
        </w:rPr>
      </w:pPr>
      <w:r w:rsidRPr="001039D4">
        <w:rPr>
          <w:rFonts w:cs="ArialMT"/>
          <w:b/>
        </w:rPr>
        <w:t>ΓΕΝΙΚΟΙ ΣΤΟΧΟΙ</w:t>
      </w:r>
    </w:p>
    <w:p w:rsidR="001039D4" w:rsidRPr="001039D4" w:rsidRDefault="001039D4" w:rsidP="00DF05FE">
      <w:pPr>
        <w:autoSpaceDE w:val="0"/>
        <w:autoSpaceDN w:val="0"/>
        <w:adjustRightInd w:val="0"/>
        <w:spacing w:after="0" w:line="240" w:lineRule="auto"/>
        <w:rPr>
          <w:rFonts w:cs="ArialMT"/>
          <w:b/>
        </w:rPr>
      </w:pPr>
    </w:p>
    <w:p w:rsidR="00DF05FE" w:rsidRPr="001039D4" w:rsidRDefault="00DF05FE" w:rsidP="00DF05FE">
      <w:pPr>
        <w:autoSpaceDE w:val="0"/>
        <w:autoSpaceDN w:val="0"/>
        <w:adjustRightInd w:val="0"/>
        <w:spacing w:after="0" w:line="240" w:lineRule="auto"/>
        <w:rPr>
          <w:rFonts w:cs="ArialMT"/>
        </w:rPr>
      </w:pPr>
      <w:r w:rsidRPr="001039D4">
        <w:rPr>
          <w:rFonts w:cs="ArialMT"/>
        </w:rPr>
        <w:t>1. Η πλήρης εναρμόνιση με τις αρχές του Χάρτη Erasmus</w:t>
      </w:r>
    </w:p>
    <w:p w:rsidR="00DF05FE" w:rsidRPr="001039D4" w:rsidRDefault="00DF05FE" w:rsidP="00DF05FE">
      <w:pPr>
        <w:autoSpaceDE w:val="0"/>
        <w:autoSpaceDN w:val="0"/>
        <w:adjustRightInd w:val="0"/>
        <w:spacing w:after="0" w:line="240" w:lineRule="auto"/>
        <w:rPr>
          <w:rFonts w:cs="ArialMT"/>
        </w:rPr>
      </w:pPr>
      <w:r w:rsidRPr="001039D4">
        <w:rPr>
          <w:rFonts w:cs="ArialMT"/>
        </w:rPr>
        <w:t>2. Η αξιοποίηση και διάδοση των αποτελεσμάτων μετακίνησης</w:t>
      </w:r>
    </w:p>
    <w:p w:rsidR="00DF05FE" w:rsidRPr="001039D4" w:rsidRDefault="00DF05FE" w:rsidP="00DF05FE">
      <w:pPr>
        <w:autoSpaceDE w:val="0"/>
        <w:autoSpaceDN w:val="0"/>
        <w:adjustRightInd w:val="0"/>
        <w:spacing w:after="0" w:line="240" w:lineRule="auto"/>
        <w:rPr>
          <w:rFonts w:cs="ArialMT"/>
        </w:rPr>
      </w:pPr>
      <w:r w:rsidRPr="001039D4">
        <w:rPr>
          <w:rFonts w:cs="ArialMT"/>
        </w:rPr>
        <w:t>3. Η διεύρυνση των υφισταμένων και η ανάπτυξη νέων συνεργασιών στα πλαίσια του</w:t>
      </w:r>
    </w:p>
    <w:p w:rsidR="00DF05FE" w:rsidRPr="001039D4" w:rsidRDefault="00DF05FE" w:rsidP="00DF05FE">
      <w:pPr>
        <w:autoSpaceDE w:val="0"/>
        <w:autoSpaceDN w:val="0"/>
        <w:adjustRightInd w:val="0"/>
        <w:spacing w:after="0" w:line="240" w:lineRule="auto"/>
        <w:rPr>
          <w:rFonts w:cs="ArialMT"/>
        </w:rPr>
      </w:pPr>
      <w:r w:rsidRPr="001039D4">
        <w:rPr>
          <w:rFonts w:cs="ArialMT"/>
        </w:rPr>
        <w:t>Προγράμματος.</w:t>
      </w:r>
    </w:p>
    <w:p w:rsidR="001039D4" w:rsidRPr="001039D4" w:rsidRDefault="001039D4" w:rsidP="00DF05FE">
      <w:pPr>
        <w:autoSpaceDE w:val="0"/>
        <w:autoSpaceDN w:val="0"/>
        <w:adjustRightInd w:val="0"/>
        <w:spacing w:after="0" w:line="240" w:lineRule="auto"/>
        <w:rPr>
          <w:rFonts w:cs="ArialMT"/>
        </w:rPr>
      </w:pPr>
    </w:p>
    <w:p w:rsidR="00DF05FE" w:rsidRPr="001039D4" w:rsidRDefault="001039D4" w:rsidP="00DF05FE">
      <w:pPr>
        <w:autoSpaceDE w:val="0"/>
        <w:autoSpaceDN w:val="0"/>
        <w:adjustRightInd w:val="0"/>
        <w:spacing w:after="0" w:line="240" w:lineRule="auto"/>
        <w:rPr>
          <w:rFonts w:cs="ArialMT"/>
        </w:rPr>
      </w:pPr>
      <w:r w:rsidRPr="001039D4">
        <w:rPr>
          <w:b/>
          <w:noProof/>
          <w:color w:val="FF0000"/>
          <w:lang w:eastAsia="el-GR"/>
        </w:rPr>
        <mc:AlternateContent>
          <mc:Choice Requires="wps">
            <w:drawing>
              <wp:anchor distT="0" distB="0" distL="114300" distR="114300" simplePos="0" relativeHeight="251671552" behindDoc="1" locked="0" layoutInCell="1" allowOverlap="1" wp14:anchorId="5D96E9DB" wp14:editId="01966DC6">
                <wp:simplePos x="0" y="0"/>
                <wp:positionH relativeFrom="column">
                  <wp:posOffset>-123825</wp:posOffset>
                </wp:positionH>
                <wp:positionV relativeFrom="paragraph">
                  <wp:posOffset>66675</wp:posOffset>
                </wp:positionV>
                <wp:extent cx="5457825" cy="323850"/>
                <wp:effectExtent l="0" t="0" r="28575" b="19050"/>
                <wp:wrapNone/>
                <wp:docPr id="9" name="Ορθογώνιο 9"/>
                <wp:cNvGraphicFramePr/>
                <a:graphic xmlns:a="http://schemas.openxmlformats.org/drawingml/2006/main">
                  <a:graphicData uri="http://schemas.microsoft.com/office/word/2010/wordprocessingShape">
                    <wps:wsp>
                      <wps:cNvSpPr/>
                      <wps:spPr>
                        <a:xfrm>
                          <a:off x="0" y="0"/>
                          <a:ext cx="54578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84E5F" id="Ορθογώνιο 9" o:spid="_x0000_s1026" style="position:absolute;margin-left:-9.75pt;margin-top:5.25pt;width:429.75pt;height:25.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" fillcolor="#5b9bd5 [3204]" strokecolor="#1f4d78 [1604]" strokeweight="1pt"/>
            </w:pict>
          </mc:Fallback>
        </mc:AlternateContent>
      </w:r>
    </w:p>
    <w:p w:rsidR="00DF05FE" w:rsidRPr="001039D4" w:rsidRDefault="00DF05FE" w:rsidP="00DF05FE">
      <w:pPr>
        <w:autoSpaceDE w:val="0"/>
        <w:autoSpaceDN w:val="0"/>
        <w:adjustRightInd w:val="0"/>
        <w:spacing w:after="0" w:line="240" w:lineRule="auto"/>
        <w:rPr>
          <w:rFonts w:cs="ArialMT"/>
          <w:b/>
        </w:rPr>
      </w:pPr>
      <w:r w:rsidRPr="001039D4">
        <w:rPr>
          <w:rFonts w:cs="ArialMT"/>
          <w:b/>
        </w:rPr>
        <w:t>ΑΠΟΤΕΛΕΣΜΑΤΑ ΚΑΙ ΑΝΤΙΚΤΥΠΟΣ</w:t>
      </w:r>
    </w:p>
    <w:p w:rsidR="00DF05FE" w:rsidRPr="001039D4" w:rsidRDefault="00DF05FE" w:rsidP="00DF05FE">
      <w:pPr>
        <w:autoSpaceDE w:val="0"/>
        <w:autoSpaceDN w:val="0"/>
        <w:adjustRightInd w:val="0"/>
        <w:spacing w:after="0" w:line="240" w:lineRule="auto"/>
        <w:rPr>
          <w:rFonts w:cs="ArialMT"/>
        </w:rPr>
      </w:pPr>
    </w:p>
    <w:p w:rsidR="00DF05FE" w:rsidRPr="001039D4" w:rsidRDefault="00DF05FE" w:rsidP="001039D4">
      <w:pPr>
        <w:autoSpaceDE w:val="0"/>
        <w:autoSpaceDN w:val="0"/>
        <w:adjustRightInd w:val="0"/>
        <w:spacing w:after="0" w:line="240" w:lineRule="auto"/>
        <w:jc w:val="both"/>
        <w:rPr>
          <w:rFonts w:cs="ArialMT"/>
        </w:rPr>
      </w:pPr>
      <w:r w:rsidRPr="001039D4">
        <w:rPr>
          <w:rFonts w:cs="ArialMT"/>
        </w:rPr>
        <w:t>Η αποτίμηση της εφαρμογή του Σχεδίου και τα συμπεράσματα εξάγονται α) βάσει του</w:t>
      </w:r>
      <w:r w:rsidR="001039D4">
        <w:rPr>
          <w:rFonts w:cs="ArialMT"/>
        </w:rPr>
        <w:t xml:space="preserve"> </w:t>
      </w:r>
      <w:r w:rsidRPr="001039D4">
        <w:rPr>
          <w:rFonts w:cs="ArialMT"/>
        </w:rPr>
        <w:t>βαθμού απορρόφησης των κονδυλίων και β) βάσει της ποιοτικής ανάλυσης των</w:t>
      </w:r>
      <w:r w:rsidR="001039D4">
        <w:rPr>
          <w:rFonts w:cs="ArialMT"/>
        </w:rPr>
        <w:t xml:space="preserve"> </w:t>
      </w:r>
      <w:r w:rsidR="00651B87" w:rsidRPr="001039D4">
        <w:rPr>
          <w:rFonts w:cs="ArialMT"/>
        </w:rPr>
        <w:t>απαντήσεων των συμμετεχόντων μετά την υποβολή της Έκθεσης Κινητικότητας.</w:t>
      </w:r>
    </w:p>
    <w:p w:rsidR="00DF05FE" w:rsidRPr="001039D4" w:rsidRDefault="00DF05FE" w:rsidP="001039D4">
      <w:pPr>
        <w:autoSpaceDE w:val="0"/>
        <w:autoSpaceDN w:val="0"/>
        <w:adjustRightInd w:val="0"/>
        <w:spacing w:after="0" w:line="240" w:lineRule="auto"/>
        <w:jc w:val="both"/>
        <w:rPr>
          <w:rFonts w:cs="ArialMT"/>
        </w:rPr>
      </w:pPr>
    </w:p>
    <w:p w:rsidR="00DF05FE" w:rsidRPr="001039D4" w:rsidRDefault="00DF05FE" w:rsidP="00DF05FE">
      <w:pPr>
        <w:autoSpaceDE w:val="0"/>
        <w:autoSpaceDN w:val="0"/>
        <w:adjustRightInd w:val="0"/>
        <w:spacing w:after="0" w:line="240" w:lineRule="auto"/>
        <w:rPr>
          <w:rFonts w:cs="ArialMT"/>
        </w:rPr>
      </w:pPr>
      <w:r w:rsidRPr="001039D4">
        <w:rPr>
          <w:rFonts w:cs="ArialMT"/>
        </w:rPr>
        <w:t>-------------------------------------------------------------------------------------------------------------------------</w:t>
      </w:r>
    </w:p>
    <w:p w:rsidR="00DF05FE" w:rsidRPr="001039D4" w:rsidRDefault="00DF05FE" w:rsidP="00DF05FE">
      <w:pPr>
        <w:autoSpaceDE w:val="0"/>
        <w:autoSpaceDN w:val="0"/>
        <w:adjustRightInd w:val="0"/>
        <w:spacing w:after="0" w:line="240" w:lineRule="auto"/>
        <w:rPr>
          <w:rFonts w:cs="ArialMT"/>
        </w:rPr>
      </w:pPr>
    </w:p>
    <w:p w:rsidR="00DF05FE" w:rsidRPr="001039D4" w:rsidRDefault="00DF05FE" w:rsidP="004A25DE">
      <w:pPr>
        <w:autoSpaceDE w:val="0"/>
        <w:autoSpaceDN w:val="0"/>
        <w:adjustRightInd w:val="0"/>
        <w:spacing w:after="0" w:line="240" w:lineRule="auto"/>
        <w:jc w:val="center"/>
        <w:rPr>
          <w:rFonts w:cs="ArialMT"/>
          <w:i/>
        </w:rPr>
      </w:pPr>
      <w:r w:rsidRPr="001039D4">
        <w:rPr>
          <w:rFonts w:cs="ArialMT"/>
          <w:i/>
        </w:rPr>
        <w:t>Τυχόν αλλαγές και διαφοροποιήσεις κατά τα διάφορα στάδια υλοποίησης του Προγράμματος δημοσιοποιούνται έγκαιρα</w:t>
      </w:r>
      <w:r w:rsidR="009113FC" w:rsidRPr="001039D4">
        <w:rPr>
          <w:rFonts w:cs="ArialMT"/>
          <w:i/>
        </w:rPr>
        <w:t>,</w:t>
      </w:r>
      <w:r w:rsidRPr="001039D4">
        <w:rPr>
          <w:rFonts w:cs="ArialMT"/>
          <w:i/>
        </w:rPr>
        <w:t xml:space="preserve"> ώστε να διασφαλίζεται η διαφάνεια και συνοχή στη λειτουργία του Προγράμματος.</w:t>
      </w:r>
    </w:p>
    <w:p w:rsidR="00DF05FE" w:rsidRPr="001039D4" w:rsidRDefault="00DF05FE" w:rsidP="00F33CFB">
      <w:pPr>
        <w:spacing w:after="150" w:line="240" w:lineRule="auto"/>
        <w:rPr>
          <w:rFonts w:eastAsia="Times New Roman" w:cs="Arial"/>
          <w:lang w:eastAsia="el-GR"/>
        </w:rPr>
      </w:pPr>
    </w:p>
    <w:sectPr w:rsidR="00DF05FE" w:rsidRPr="001039D4" w:rsidSect="00026717">
      <w:headerReference w:type="default" r:id="rId9"/>
      <w:footerReference w:type="default" r:id="rId1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3FF" w:rsidRDefault="00CC43FF" w:rsidP="000F7E5E">
      <w:pPr>
        <w:spacing w:after="0" w:line="240" w:lineRule="auto"/>
      </w:pPr>
      <w:r>
        <w:separator/>
      </w:r>
    </w:p>
  </w:endnote>
  <w:endnote w:type="continuationSeparator" w:id="0">
    <w:p w:rsidR="00CC43FF" w:rsidRDefault="00CC43FF" w:rsidP="000F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35" w:rsidRDefault="00157B35" w:rsidP="00157B35">
    <w:pPr>
      <w:spacing w:line="240" w:lineRule="auto"/>
      <w:jc w:val="center"/>
      <w:rPr>
        <w:rFonts w:cs="Tahoma"/>
        <w:b/>
        <w:i/>
        <w:sz w:val="18"/>
        <w:szCs w:val="18"/>
      </w:rPr>
    </w:pPr>
  </w:p>
  <w:p w:rsidR="000F7E5E" w:rsidRPr="00157B35" w:rsidRDefault="000F7E5E" w:rsidP="00157B35">
    <w:pPr>
      <w:spacing w:line="240" w:lineRule="auto"/>
      <w:jc w:val="center"/>
      <w:rPr>
        <w:rFonts w:cs="Tahoma"/>
        <w:b/>
        <w:i/>
        <w:sz w:val="18"/>
        <w:szCs w:val="18"/>
      </w:rPr>
    </w:pPr>
    <w:r w:rsidRPr="00157B35">
      <w:rPr>
        <w:rFonts w:cs="Tahoma"/>
        <w:b/>
        <w:i/>
        <w:sz w:val="18"/>
        <w:szCs w:val="18"/>
      </w:rPr>
      <w:t xml:space="preserve">Γραφείο </w:t>
    </w:r>
    <w:r w:rsidRPr="00157B35">
      <w:rPr>
        <w:rFonts w:cs="Tahoma"/>
        <w:b/>
        <w:i/>
        <w:sz w:val="18"/>
        <w:szCs w:val="18"/>
        <w:lang w:val="en-US"/>
      </w:rPr>
      <w:t>Erasmus</w:t>
    </w:r>
    <w:r w:rsidRPr="00157B35">
      <w:rPr>
        <w:rFonts w:cs="Tahoma"/>
        <w:b/>
        <w:i/>
        <w:sz w:val="18"/>
        <w:szCs w:val="18"/>
      </w:rPr>
      <w:t xml:space="preserve"> Πανεπιστημίου Πελοποννήσου  </w:t>
    </w:r>
    <w:r w:rsidR="00157B35">
      <w:rPr>
        <w:rFonts w:cs="Tahoma"/>
        <w:b/>
        <w:i/>
        <w:sz w:val="18"/>
        <w:szCs w:val="18"/>
      </w:rPr>
      <w:t xml:space="preserve">                                                                                                                          </w:t>
    </w:r>
    <w:r w:rsidRPr="00157B35">
      <w:rPr>
        <w:rFonts w:cs="Tahoma"/>
        <w:b/>
        <w:i/>
        <w:sz w:val="18"/>
        <w:szCs w:val="18"/>
      </w:rPr>
      <w:t>Βασ. Κωνσταντίνου</w:t>
    </w:r>
    <w:r w:rsidR="00157B35">
      <w:rPr>
        <w:rFonts w:cs="Tahoma"/>
        <w:b/>
        <w:i/>
        <w:sz w:val="18"/>
        <w:szCs w:val="18"/>
      </w:rPr>
      <w:t xml:space="preserve"> 21, 211 Ναύπλιο                                                                                                                                                          </w:t>
    </w:r>
    <w:r w:rsidRPr="00157B35">
      <w:rPr>
        <w:rFonts w:cs="Tahoma"/>
        <w:b/>
        <w:i/>
        <w:sz w:val="18"/>
        <w:szCs w:val="18"/>
      </w:rPr>
      <w:t xml:space="preserve">Τηλ. 27520 96130 </w:t>
    </w:r>
    <w:r w:rsidRPr="00157B35">
      <w:rPr>
        <w:rFonts w:cs="Tahoma"/>
        <w:b/>
        <w:i/>
        <w:sz w:val="18"/>
        <w:szCs w:val="18"/>
        <w:lang w:val="en-GB"/>
      </w:rPr>
      <w:t>Fax</w:t>
    </w:r>
    <w:r w:rsidRPr="00157B35">
      <w:rPr>
        <w:rFonts w:cs="Tahoma"/>
        <w:b/>
        <w:i/>
        <w:sz w:val="18"/>
        <w:szCs w:val="18"/>
      </w:rPr>
      <w:t xml:space="preserve">: </w:t>
    </w:r>
    <w:r w:rsidR="00157B35">
      <w:rPr>
        <w:rFonts w:cs="Tahoma"/>
        <w:b/>
        <w:i/>
        <w:sz w:val="18"/>
        <w:szCs w:val="18"/>
      </w:rPr>
      <w:t xml:space="preserve">27520 96128                                                                                                                                  </w:t>
    </w:r>
    <w:r w:rsidRPr="00157B35">
      <w:rPr>
        <w:rFonts w:cs="Tahoma"/>
        <w:b/>
        <w:i/>
        <w:sz w:val="18"/>
        <w:szCs w:val="18"/>
      </w:rPr>
      <w:t xml:space="preserve"> </w:t>
    </w:r>
    <w:hyperlink r:id="rId1" w:history="1">
      <w:r w:rsidRPr="00157B35">
        <w:rPr>
          <w:rStyle w:val="-"/>
          <w:rFonts w:cs="Tahoma"/>
          <w:b/>
          <w:i/>
          <w:sz w:val="18"/>
          <w:szCs w:val="18"/>
          <w:lang w:val="en-US"/>
        </w:rPr>
        <w:t>erasmus</w:t>
      </w:r>
      <w:r w:rsidRPr="00157B35">
        <w:rPr>
          <w:rStyle w:val="-"/>
          <w:rFonts w:cs="Tahoma"/>
          <w:b/>
          <w:i/>
          <w:sz w:val="18"/>
          <w:szCs w:val="18"/>
        </w:rPr>
        <w:t>@</w:t>
      </w:r>
      <w:r w:rsidRPr="00157B35">
        <w:rPr>
          <w:rStyle w:val="-"/>
          <w:rFonts w:cs="Tahoma"/>
          <w:b/>
          <w:i/>
          <w:sz w:val="18"/>
          <w:szCs w:val="18"/>
          <w:lang w:val="en-US"/>
        </w:rPr>
        <w:t>uop</w:t>
      </w:r>
      <w:r w:rsidRPr="00157B35">
        <w:rPr>
          <w:rStyle w:val="-"/>
          <w:rFonts w:cs="Tahoma"/>
          <w:b/>
          <w:i/>
          <w:sz w:val="18"/>
          <w:szCs w:val="18"/>
        </w:rPr>
        <w:t>.</w:t>
      </w:r>
      <w:r w:rsidRPr="00157B35">
        <w:rPr>
          <w:rStyle w:val="-"/>
          <w:rFonts w:cs="Tahoma"/>
          <w:b/>
          <w:i/>
          <w:sz w:val="18"/>
          <w:szCs w:val="18"/>
          <w:lang w:val="en-US"/>
        </w:rPr>
        <w:t>gr</w:t>
      </w:r>
    </w:hyperlink>
    <w:r w:rsidR="00157B35">
      <w:rPr>
        <w:rFonts w:cs="Tahoma"/>
        <w:b/>
        <w:i/>
        <w:sz w:val="18"/>
        <w:szCs w:val="18"/>
      </w:rPr>
      <w:t xml:space="preserve">                                                                                                                                                </w:t>
    </w:r>
    <w:hyperlink r:id="rId2" w:history="1">
      <w:r w:rsidRPr="00157B35">
        <w:rPr>
          <w:rStyle w:val="-"/>
          <w:rFonts w:cs="Tahoma"/>
          <w:b/>
          <w:i/>
          <w:sz w:val="18"/>
          <w:szCs w:val="18"/>
          <w:lang w:val="en-US"/>
        </w:rPr>
        <w:t>www</w:t>
      </w:r>
      <w:r w:rsidRPr="00157B35">
        <w:rPr>
          <w:rStyle w:val="-"/>
          <w:rFonts w:cs="Tahoma"/>
          <w:b/>
          <w:i/>
          <w:sz w:val="18"/>
          <w:szCs w:val="18"/>
        </w:rPr>
        <w:t>.</w:t>
      </w:r>
      <w:r w:rsidRPr="00157B35">
        <w:rPr>
          <w:rStyle w:val="-"/>
          <w:rFonts w:cs="Tahoma"/>
          <w:b/>
          <w:i/>
          <w:sz w:val="18"/>
          <w:szCs w:val="18"/>
          <w:lang w:val="en-US"/>
        </w:rPr>
        <w:t>uop</w:t>
      </w:r>
      <w:r w:rsidRPr="00157B35">
        <w:rPr>
          <w:rStyle w:val="-"/>
          <w:rFonts w:cs="Tahoma"/>
          <w:b/>
          <w:i/>
          <w:sz w:val="18"/>
          <w:szCs w:val="18"/>
        </w:rPr>
        <w:t>.</w:t>
      </w:r>
      <w:r w:rsidRPr="00157B35">
        <w:rPr>
          <w:rStyle w:val="-"/>
          <w:rFonts w:cs="Tahoma"/>
          <w:b/>
          <w:i/>
          <w:sz w:val="18"/>
          <w:szCs w:val="18"/>
          <w:lang w:val="en-US"/>
        </w:rPr>
        <w:t>gr</w:t>
      </w:r>
      <w:r w:rsidRPr="00157B35">
        <w:rPr>
          <w:rStyle w:val="-"/>
          <w:rFonts w:cs="Tahoma"/>
          <w:b/>
          <w:i/>
          <w:sz w:val="18"/>
          <w:szCs w:val="18"/>
        </w:rPr>
        <w:t>/</w:t>
      </w:r>
      <w:r w:rsidRPr="00157B35">
        <w:rPr>
          <w:rStyle w:val="-"/>
          <w:rFonts w:cs="Tahoma"/>
          <w:b/>
          <w:i/>
          <w:sz w:val="18"/>
          <w:szCs w:val="18"/>
          <w:lang w:val="en-US"/>
        </w:rPr>
        <w:t>erasmus</w:t>
      </w:r>
    </w:hyperlink>
    <w:r w:rsidRPr="00157B35">
      <w:rPr>
        <w:rFonts w:cs="Tahoma"/>
        <w:b/>
        <w:i/>
        <w:sz w:val="18"/>
        <w:szCs w:val="18"/>
      </w:rPr>
      <w:t xml:space="preserve"> </w:t>
    </w:r>
    <w:hyperlink r:id="rId3" w:history="1"/>
    <w:r w:rsidRPr="00157B35">
      <w:rPr>
        <w:rFonts w:cs="Tahoma"/>
        <w:b/>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3FF" w:rsidRDefault="00CC43FF" w:rsidP="000F7E5E">
      <w:pPr>
        <w:spacing w:after="0" w:line="240" w:lineRule="auto"/>
      </w:pPr>
      <w:r>
        <w:separator/>
      </w:r>
    </w:p>
  </w:footnote>
  <w:footnote w:type="continuationSeparator" w:id="0">
    <w:p w:rsidR="00CC43FF" w:rsidRDefault="00CC43FF" w:rsidP="000F7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5E" w:rsidRDefault="000F7E5E" w:rsidP="000F7E5E">
    <w:pPr>
      <w:pStyle w:val="a4"/>
      <w:rPr>
        <w:rFonts w:ascii="Tahoma" w:hAnsi="Tahoma" w:cs="Tahoma"/>
        <w:noProof/>
        <w:sz w:val="20"/>
        <w:lang w:eastAsia="el-GR"/>
      </w:rPr>
    </w:pPr>
    <w:r w:rsidRPr="00FB2712">
      <w:rPr>
        <w:b/>
        <w:noProof/>
        <w:sz w:val="20"/>
        <w:szCs w:val="20"/>
        <w:lang w:eastAsia="el-GR"/>
      </w:rPr>
      <w:drawing>
        <wp:inline distT="0" distB="0" distL="0" distR="0">
          <wp:extent cx="1809750" cy="704850"/>
          <wp:effectExtent l="0" t="0" r="0" b="0"/>
          <wp:docPr id="2" name="Εικόνα 2" descr="αρχείο λήψ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αρχείο λήψη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r>
      <w:rPr>
        <w:b/>
        <w:noProof/>
        <w:sz w:val="20"/>
        <w:szCs w:val="20"/>
        <w:lang w:eastAsia="el-GR"/>
      </w:rPr>
      <w:tab/>
      <w:t xml:space="preserve">                                                                            </w:t>
    </w:r>
    <w:r w:rsidRPr="00FB2712">
      <w:rPr>
        <w:rFonts w:ascii="Tahoma" w:hAnsi="Tahoma" w:cs="Tahoma"/>
        <w:noProof/>
        <w:sz w:val="20"/>
        <w:lang w:eastAsia="el-GR"/>
      </w:rPr>
      <w:drawing>
        <wp:inline distT="0" distB="0" distL="0" distR="0">
          <wp:extent cx="704850" cy="628650"/>
          <wp:effectExtent l="0" t="0" r="0" b="0"/>
          <wp:docPr id="1" name="Εικόνα 1" descr="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PEL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p>
  <w:p w:rsidR="000F7E5E" w:rsidRDefault="000F7E5E" w:rsidP="000F7E5E">
    <w:pPr>
      <w:pStyle w:val="a4"/>
      <w:rPr>
        <w:b/>
        <w:noProof/>
        <w:sz w:val="20"/>
        <w:szCs w:val="20"/>
        <w:lang w:eastAsia="el-GR"/>
      </w:rPr>
    </w:pPr>
    <w:r>
      <w:rPr>
        <w:rFonts w:ascii="Tahoma" w:hAnsi="Tahoma" w:cs="Tahoma"/>
        <w:noProof/>
        <w:sz w:val="20"/>
        <w:lang w:eastAsia="el-GR"/>
      </w:rPr>
      <w:tab/>
    </w:r>
    <w:r>
      <w:rPr>
        <w:rFonts w:ascii="Tahoma" w:hAnsi="Tahoma" w:cs="Tahoma"/>
        <w:noProof/>
        <w:sz w:val="20"/>
        <w:lang w:eastAsia="el-GR"/>
      </w:rPr>
      <w:tab/>
      <w:t xml:space="preserve">           </w:t>
    </w:r>
    <w:r>
      <w:rPr>
        <w:b/>
        <w:noProof/>
        <w:sz w:val="20"/>
        <w:szCs w:val="20"/>
        <w:lang w:eastAsia="el-GR"/>
      </w:rPr>
      <w:t>ΠΑΝΕΠΙΣΤΗΜΙΟ ΠΕΛΟΠΟΝΝΗΣΟΥ</w:t>
    </w:r>
  </w:p>
  <w:p w:rsidR="000F7E5E" w:rsidRDefault="000F7E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7F7E"/>
    <w:multiLevelType w:val="hybridMultilevel"/>
    <w:tmpl w:val="EC32D8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ED0E29"/>
    <w:multiLevelType w:val="hybridMultilevel"/>
    <w:tmpl w:val="D548A9BA"/>
    <w:lvl w:ilvl="0" w:tplc="7E029DDE">
      <w:start w:val="3"/>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3C100B2"/>
    <w:multiLevelType w:val="hybridMultilevel"/>
    <w:tmpl w:val="8DAA1A82"/>
    <w:lvl w:ilvl="0" w:tplc="487C2368">
      <w:start w:val="3"/>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CF7CF1"/>
    <w:multiLevelType w:val="hybridMultilevel"/>
    <w:tmpl w:val="699021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5D04202"/>
    <w:multiLevelType w:val="hybridMultilevel"/>
    <w:tmpl w:val="B4AA68F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15"/>
    <w:rsid w:val="00026717"/>
    <w:rsid w:val="00081E90"/>
    <w:rsid w:val="000F7E5E"/>
    <w:rsid w:val="001013C7"/>
    <w:rsid w:val="001039D4"/>
    <w:rsid w:val="001224E6"/>
    <w:rsid w:val="00157B35"/>
    <w:rsid w:val="00157D11"/>
    <w:rsid w:val="001B663D"/>
    <w:rsid w:val="001F2ACF"/>
    <w:rsid w:val="00244115"/>
    <w:rsid w:val="002650D5"/>
    <w:rsid w:val="00265779"/>
    <w:rsid w:val="002C07AC"/>
    <w:rsid w:val="002E6AAD"/>
    <w:rsid w:val="002F6655"/>
    <w:rsid w:val="003956AF"/>
    <w:rsid w:val="0042098F"/>
    <w:rsid w:val="004500E0"/>
    <w:rsid w:val="004A25DE"/>
    <w:rsid w:val="004A3712"/>
    <w:rsid w:val="004D6DFB"/>
    <w:rsid w:val="00515816"/>
    <w:rsid w:val="0052651F"/>
    <w:rsid w:val="00547F2A"/>
    <w:rsid w:val="005671A1"/>
    <w:rsid w:val="00597CBD"/>
    <w:rsid w:val="005C70AE"/>
    <w:rsid w:val="005E5030"/>
    <w:rsid w:val="005F602E"/>
    <w:rsid w:val="00613E15"/>
    <w:rsid w:val="00614C14"/>
    <w:rsid w:val="00651B87"/>
    <w:rsid w:val="00684851"/>
    <w:rsid w:val="00684CAE"/>
    <w:rsid w:val="00695F35"/>
    <w:rsid w:val="006A06C0"/>
    <w:rsid w:val="006A65A4"/>
    <w:rsid w:val="006D3E3B"/>
    <w:rsid w:val="006E5A0D"/>
    <w:rsid w:val="00787E2A"/>
    <w:rsid w:val="007A4119"/>
    <w:rsid w:val="007D12C0"/>
    <w:rsid w:val="008C5CAC"/>
    <w:rsid w:val="008D6364"/>
    <w:rsid w:val="00903922"/>
    <w:rsid w:val="009113FC"/>
    <w:rsid w:val="009132B9"/>
    <w:rsid w:val="009771B4"/>
    <w:rsid w:val="0098676A"/>
    <w:rsid w:val="009F71DD"/>
    <w:rsid w:val="00A22FDB"/>
    <w:rsid w:val="00A24E66"/>
    <w:rsid w:val="00A97BBD"/>
    <w:rsid w:val="00AF3E49"/>
    <w:rsid w:val="00B00AA0"/>
    <w:rsid w:val="00B16C20"/>
    <w:rsid w:val="00BA01AF"/>
    <w:rsid w:val="00C411DB"/>
    <w:rsid w:val="00C608AE"/>
    <w:rsid w:val="00C67EC5"/>
    <w:rsid w:val="00CC43FF"/>
    <w:rsid w:val="00D43363"/>
    <w:rsid w:val="00D74467"/>
    <w:rsid w:val="00D842E9"/>
    <w:rsid w:val="00DE3094"/>
    <w:rsid w:val="00DF05FE"/>
    <w:rsid w:val="00DF07BE"/>
    <w:rsid w:val="00E005BD"/>
    <w:rsid w:val="00E0770F"/>
    <w:rsid w:val="00E36BCE"/>
    <w:rsid w:val="00E41C40"/>
    <w:rsid w:val="00E65DDA"/>
    <w:rsid w:val="00EB6BD0"/>
    <w:rsid w:val="00EE5E86"/>
    <w:rsid w:val="00F248EE"/>
    <w:rsid w:val="00F33CFB"/>
    <w:rsid w:val="00F60CAD"/>
    <w:rsid w:val="00F93D7D"/>
    <w:rsid w:val="00FA1E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19AF7B-079A-4953-BA0D-B06BA97B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81E90"/>
    <w:rPr>
      <w:color w:val="0563C1" w:themeColor="hyperlink"/>
      <w:u w:val="single"/>
    </w:rPr>
  </w:style>
  <w:style w:type="paragraph" w:styleId="Web">
    <w:name w:val="Normal (Web)"/>
    <w:basedOn w:val="a"/>
    <w:uiPriority w:val="99"/>
    <w:unhideWhenUsed/>
    <w:rsid w:val="000F7E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F7E5E"/>
    <w:rPr>
      <w:b/>
      <w:bCs/>
    </w:rPr>
  </w:style>
  <w:style w:type="paragraph" w:styleId="a4">
    <w:name w:val="header"/>
    <w:basedOn w:val="a"/>
    <w:link w:val="Char"/>
    <w:unhideWhenUsed/>
    <w:rsid w:val="000F7E5E"/>
    <w:pPr>
      <w:tabs>
        <w:tab w:val="center" w:pos="4153"/>
        <w:tab w:val="right" w:pos="8306"/>
      </w:tabs>
      <w:spacing w:after="0" w:line="240" w:lineRule="auto"/>
    </w:pPr>
  </w:style>
  <w:style w:type="character" w:customStyle="1" w:styleId="Char">
    <w:name w:val="Κεφαλίδα Char"/>
    <w:basedOn w:val="a0"/>
    <w:link w:val="a4"/>
    <w:rsid w:val="000F7E5E"/>
  </w:style>
  <w:style w:type="paragraph" w:styleId="a5">
    <w:name w:val="footer"/>
    <w:basedOn w:val="a"/>
    <w:link w:val="Char0"/>
    <w:uiPriority w:val="99"/>
    <w:unhideWhenUsed/>
    <w:rsid w:val="000F7E5E"/>
    <w:pPr>
      <w:tabs>
        <w:tab w:val="center" w:pos="4153"/>
        <w:tab w:val="right" w:pos="8306"/>
      </w:tabs>
      <w:spacing w:after="0" w:line="240" w:lineRule="auto"/>
    </w:pPr>
  </w:style>
  <w:style w:type="character" w:customStyle="1" w:styleId="Char0">
    <w:name w:val="Υποσέλιδο Char"/>
    <w:basedOn w:val="a0"/>
    <w:link w:val="a5"/>
    <w:uiPriority w:val="99"/>
    <w:rsid w:val="000F7E5E"/>
  </w:style>
  <w:style w:type="paragraph" w:styleId="a6">
    <w:name w:val="List Paragraph"/>
    <w:basedOn w:val="a"/>
    <w:uiPriority w:val="34"/>
    <w:qFormat/>
    <w:rsid w:val="009F71DD"/>
    <w:pPr>
      <w:ind w:left="720"/>
      <w:contextualSpacing/>
    </w:pPr>
  </w:style>
  <w:style w:type="paragraph" w:customStyle="1" w:styleId="ListParagraph1">
    <w:name w:val="List Paragraph1"/>
    <w:basedOn w:val="a"/>
    <w:rsid w:val="009F71DD"/>
    <w:pPr>
      <w:spacing w:after="0" w:line="240" w:lineRule="auto"/>
      <w:ind w:left="720"/>
    </w:pPr>
    <w:rPr>
      <w:rFonts w:ascii="Times New Roman" w:eastAsia="Times New Roman" w:hAnsi="Times New Roman" w:cs="Times New Roman"/>
      <w:sz w:val="24"/>
      <w:szCs w:val="24"/>
      <w:lang w:eastAsia="el-GR"/>
    </w:rPr>
  </w:style>
  <w:style w:type="paragraph" w:customStyle="1" w:styleId="1">
    <w:name w:val="Παράγραφος λίστας1"/>
    <w:basedOn w:val="a"/>
    <w:rsid w:val="009F71DD"/>
    <w:pPr>
      <w:spacing w:after="0" w:line="240" w:lineRule="auto"/>
      <w:ind w:left="720"/>
    </w:pPr>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9113FC"/>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9113FC"/>
    <w:rPr>
      <w:rFonts w:ascii="Segoe UI" w:hAnsi="Segoe UI" w:cs="Segoe UI"/>
      <w:sz w:val="18"/>
      <w:szCs w:val="18"/>
    </w:rPr>
  </w:style>
  <w:style w:type="table" w:styleId="a8">
    <w:name w:val="Table Grid"/>
    <w:basedOn w:val="a1"/>
    <w:uiPriority w:val="39"/>
    <w:rsid w:val="005F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57527">
      <w:bodyDiv w:val="1"/>
      <w:marLeft w:val="0"/>
      <w:marRight w:val="0"/>
      <w:marTop w:val="0"/>
      <w:marBottom w:val="0"/>
      <w:divBdr>
        <w:top w:val="none" w:sz="0" w:space="0" w:color="auto"/>
        <w:left w:val="none" w:sz="0" w:space="0" w:color="auto"/>
        <w:bottom w:val="none" w:sz="0" w:space="0" w:color="auto"/>
        <w:right w:val="none" w:sz="0" w:space="0" w:color="auto"/>
      </w:divBdr>
      <w:divsChild>
        <w:div w:id="1429614743">
          <w:marLeft w:val="0"/>
          <w:marRight w:val="0"/>
          <w:marTop w:val="0"/>
          <w:marBottom w:val="0"/>
          <w:divBdr>
            <w:top w:val="none" w:sz="0" w:space="0" w:color="auto"/>
            <w:left w:val="none" w:sz="0" w:space="0" w:color="auto"/>
            <w:bottom w:val="none" w:sz="0" w:space="0" w:color="auto"/>
            <w:right w:val="none" w:sz="0" w:space="0" w:color="auto"/>
          </w:divBdr>
          <w:divsChild>
            <w:div w:id="1322541575">
              <w:marLeft w:val="0"/>
              <w:marRight w:val="0"/>
              <w:marTop w:val="0"/>
              <w:marBottom w:val="0"/>
              <w:divBdr>
                <w:top w:val="none" w:sz="0" w:space="0" w:color="auto"/>
                <w:left w:val="none" w:sz="0" w:space="0" w:color="auto"/>
                <w:bottom w:val="none" w:sz="0" w:space="0" w:color="auto"/>
                <w:right w:val="none" w:sz="0" w:space="0" w:color="auto"/>
              </w:divBdr>
              <w:divsChild>
                <w:div w:id="1978486942">
                  <w:marLeft w:val="0"/>
                  <w:marRight w:val="0"/>
                  <w:marTop w:val="0"/>
                  <w:marBottom w:val="0"/>
                  <w:divBdr>
                    <w:top w:val="none" w:sz="0" w:space="0" w:color="auto"/>
                    <w:left w:val="none" w:sz="0" w:space="0" w:color="auto"/>
                    <w:bottom w:val="none" w:sz="0" w:space="0" w:color="auto"/>
                    <w:right w:val="none" w:sz="0" w:space="0" w:color="auto"/>
                  </w:divBdr>
                  <w:divsChild>
                    <w:div w:id="1139421457">
                      <w:marLeft w:val="0"/>
                      <w:marRight w:val="0"/>
                      <w:marTop w:val="0"/>
                      <w:marBottom w:val="0"/>
                      <w:divBdr>
                        <w:top w:val="none" w:sz="0" w:space="0" w:color="auto"/>
                        <w:left w:val="none" w:sz="0" w:space="0" w:color="auto"/>
                        <w:bottom w:val="none" w:sz="0" w:space="0" w:color="auto"/>
                        <w:right w:val="none" w:sz="0" w:space="0" w:color="auto"/>
                      </w:divBdr>
                      <w:divsChild>
                        <w:div w:id="1114984842">
                          <w:marLeft w:val="0"/>
                          <w:marRight w:val="0"/>
                          <w:marTop w:val="0"/>
                          <w:marBottom w:val="0"/>
                          <w:divBdr>
                            <w:top w:val="none" w:sz="0" w:space="0" w:color="auto"/>
                            <w:left w:val="none" w:sz="0" w:space="0" w:color="auto"/>
                            <w:bottom w:val="none" w:sz="0" w:space="0" w:color="auto"/>
                            <w:right w:val="none" w:sz="0" w:space="0" w:color="auto"/>
                          </w:divBdr>
                          <w:divsChild>
                            <w:div w:id="392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984695">
          <w:marLeft w:val="0"/>
          <w:marRight w:val="0"/>
          <w:marTop w:val="0"/>
          <w:marBottom w:val="0"/>
          <w:divBdr>
            <w:top w:val="none" w:sz="0" w:space="0" w:color="auto"/>
            <w:left w:val="none" w:sz="0" w:space="0" w:color="auto"/>
            <w:bottom w:val="none" w:sz="0" w:space="0" w:color="auto"/>
            <w:right w:val="none" w:sz="0" w:space="0" w:color="auto"/>
          </w:divBdr>
          <w:divsChild>
            <w:div w:id="1444692419">
              <w:marLeft w:val="0"/>
              <w:marRight w:val="0"/>
              <w:marTop w:val="0"/>
              <w:marBottom w:val="0"/>
              <w:divBdr>
                <w:top w:val="none" w:sz="0" w:space="0" w:color="auto"/>
                <w:left w:val="none" w:sz="0" w:space="0" w:color="auto"/>
                <w:bottom w:val="none" w:sz="0" w:space="0" w:color="auto"/>
                <w:right w:val="none" w:sz="0" w:space="0" w:color="auto"/>
              </w:divBdr>
              <w:divsChild>
                <w:div w:id="517890511">
                  <w:marLeft w:val="0"/>
                  <w:marRight w:val="0"/>
                  <w:marTop w:val="0"/>
                  <w:marBottom w:val="0"/>
                  <w:divBdr>
                    <w:top w:val="none" w:sz="0" w:space="0" w:color="auto"/>
                    <w:left w:val="none" w:sz="0" w:space="0" w:color="auto"/>
                    <w:bottom w:val="none" w:sz="0" w:space="0" w:color="auto"/>
                    <w:right w:val="none" w:sz="0" w:space="0" w:color="auto"/>
                  </w:divBdr>
                  <w:divsChild>
                    <w:div w:id="28722652">
                      <w:marLeft w:val="0"/>
                      <w:marRight w:val="0"/>
                      <w:marTop w:val="0"/>
                      <w:marBottom w:val="0"/>
                      <w:divBdr>
                        <w:top w:val="none" w:sz="0" w:space="0" w:color="auto"/>
                        <w:left w:val="none" w:sz="0" w:space="0" w:color="auto"/>
                        <w:bottom w:val="none" w:sz="0" w:space="0" w:color="auto"/>
                        <w:right w:val="none" w:sz="0" w:space="0" w:color="auto"/>
                      </w:divBdr>
                      <w:divsChild>
                        <w:div w:id="648556830">
                          <w:marLeft w:val="0"/>
                          <w:marRight w:val="0"/>
                          <w:marTop w:val="0"/>
                          <w:marBottom w:val="0"/>
                          <w:divBdr>
                            <w:top w:val="none" w:sz="0" w:space="0" w:color="auto"/>
                            <w:left w:val="none" w:sz="0" w:space="0" w:color="auto"/>
                            <w:bottom w:val="none" w:sz="0" w:space="0" w:color="auto"/>
                            <w:right w:val="none" w:sz="0" w:space="0" w:color="auto"/>
                          </w:divBdr>
                        </w:div>
                        <w:div w:id="13309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834145">
      <w:bodyDiv w:val="1"/>
      <w:marLeft w:val="0"/>
      <w:marRight w:val="0"/>
      <w:marTop w:val="0"/>
      <w:marBottom w:val="0"/>
      <w:divBdr>
        <w:top w:val="none" w:sz="0" w:space="0" w:color="auto"/>
        <w:left w:val="none" w:sz="0" w:space="0" w:color="auto"/>
        <w:bottom w:val="none" w:sz="0" w:space="0" w:color="auto"/>
        <w:right w:val="none" w:sz="0" w:space="0" w:color="auto"/>
      </w:divBdr>
    </w:div>
    <w:div w:id="1453982578">
      <w:bodyDiv w:val="1"/>
      <w:marLeft w:val="0"/>
      <w:marRight w:val="0"/>
      <w:marTop w:val="0"/>
      <w:marBottom w:val="0"/>
      <w:divBdr>
        <w:top w:val="none" w:sz="0" w:space="0" w:color="auto"/>
        <w:left w:val="none" w:sz="0" w:space="0" w:color="auto"/>
        <w:bottom w:val="none" w:sz="0" w:space="0" w:color="auto"/>
        <w:right w:val="none" w:sz="0" w:space="0" w:color="auto"/>
      </w:divBdr>
    </w:div>
    <w:div w:id="17174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uop.gr/index.php/-----e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uop.gr/erasmus" TargetMode="External"/><Relationship Id="rId2" Type="http://schemas.openxmlformats.org/officeDocument/2006/relationships/hyperlink" Target="http://www.uop.gr/erasmus" TargetMode="External"/><Relationship Id="rId1" Type="http://schemas.openxmlformats.org/officeDocument/2006/relationships/hyperlink" Target="mailto:erasmus@uop.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D970F-3C1A-4002-96E9-024EF484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5721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Γιωννά</dc:creator>
  <cp:keywords/>
  <dc:description/>
  <cp:lastModifiedBy>Γιωννά</cp:lastModifiedBy>
  <cp:revision>4</cp:revision>
  <cp:lastPrinted>2018-06-19T06:10:00Z</cp:lastPrinted>
  <dcterms:created xsi:type="dcterms:W3CDTF">2019-02-14T08:05:00Z</dcterms:created>
  <dcterms:modified xsi:type="dcterms:W3CDTF">2019-02-14T08:05:00Z</dcterms:modified>
</cp:coreProperties>
</file>